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cadNusx" w:cs="AcadNusx" w:eastAsia="AcadNusx" w:hAnsi="AcadNusx"/>
          <w:b w:val="0"/>
          <w:i w:val="0"/>
          <w:sz w:val="18"/>
          <w:szCs w:val="18"/>
          <w:u w:val="single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1"/>
              <w:sz w:val="18"/>
              <w:szCs w:val="18"/>
              <w:u w:val="single"/>
              <w:vertAlign w:val="baseline"/>
              <w:rtl w:val="0"/>
            </w:rPr>
            <w:t xml:space="preserve">დამტკიცებულია სსიპ </w:t>
          </w:r>
        </w:sdtContent>
      </w:sdt>
      <w:r w:rsidDel="00000000" w:rsidR="00000000" w:rsidRPr="00000000">
        <w:rPr>
          <w:rFonts w:ascii="AcadNusx" w:cs="AcadNusx" w:eastAsia="AcadNusx" w:hAnsi="AcadNusx"/>
          <w:b w:val="1"/>
          <w:i w:val="1"/>
          <w:sz w:val="18"/>
          <w:szCs w:val="18"/>
          <w:u w:val="single"/>
          <w:vertAlign w:val="baseline"/>
          <w:rtl w:val="0"/>
        </w:rPr>
        <w:t xml:space="preserve">–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1"/>
              <w:sz w:val="18"/>
              <w:szCs w:val="18"/>
              <w:u w:val="single"/>
              <w:vertAlign w:val="baseline"/>
              <w:rtl w:val="0"/>
            </w:rPr>
            <w:t xml:space="preserve"> თბილისის ვ. სარაჯიშვილის სახელობის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cadNusx" w:cs="AcadNusx" w:eastAsia="AcadNusx" w:hAnsi="AcadNusx"/>
          <w:b w:val="0"/>
          <w:i w:val="0"/>
          <w:sz w:val="18"/>
          <w:szCs w:val="18"/>
          <w:u w:val="single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1"/>
              <w:sz w:val="18"/>
              <w:szCs w:val="18"/>
              <w:u w:val="single"/>
              <w:vertAlign w:val="baseline"/>
              <w:rtl w:val="0"/>
            </w:rPr>
            <w:t xml:space="preserve">სახელმწიფო კონსერვატორიის აკადემიური საბჭოს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cadNusx" w:cs="AcadNusx" w:eastAsia="AcadNusx" w:hAnsi="AcadNusx"/>
          <w:b w:val="0"/>
          <w:i w:val="0"/>
          <w:sz w:val="18"/>
          <w:szCs w:val="18"/>
          <w:u w:val="single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1"/>
              <w:sz w:val="18"/>
              <w:szCs w:val="18"/>
              <w:u w:val="single"/>
              <w:vertAlign w:val="baseline"/>
              <w:rtl w:val="0"/>
            </w:rPr>
            <w:t xml:space="preserve">2010 წლის  24 სექტემბრის  სხდომაზე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cadNusx" w:cs="AcadNusx" w:eastAsia="AcadNusx" w:hAnsi="AcadNusx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cadNusx" w:cs="AcadNusx" w:eastAsia="AcadNusx" w:hAnsi="AcadNusx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cadNusx" w:cs="AcadNusx" w:eastAsia="AcadNusx" w:hAnsi="AcadNusx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vertAlign w:val="baseline"/>
              <w:rtl w:val="0"/>
            </w:rPr>
            <w:t xml:space="preserve">თბილისის ვანო სარაჯიშვილის სახ. სახელმწიფო კონსერვატორია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cadNusx" w:cs="AcadNusx" w:eastAsia="AcadNusx" w:hAnsi="AcadNusx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cadNusx" w:cs="AcadNusx" w:eastAsia="AcadNusx" w:hAnsi="AcadNusx"/>
          <w:b w:val="0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vertAlign w:val="baseline"/>
              <w:rtl w:val="0"/>
            </w:rPr>
            <w:t xml:space="preserve">სასწავლო გეგმა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cadNusx" w:cs="AcadNusx" w:eastAsia="AcadNusx" w:hAnsi="AcadNusx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cadNusx" w:cs="AcadNusx" w:eastAsia="AcadNusx" w:hAnsi="AcadNusx"/>
          <w:b w:val="0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vertAlign w:val="baseline"/>
              <w:rtl w:val="0"/>
            </w:rPr>
            <w:t xml:space="preserve">სადოქტორო პროგრამა </w:t>
          </w:r>
        </w:sdtContent>
      </w:sdt>
      <w:r w:rsidDel="00000000" w:rsidR="00000000" w:rsidRPr="00000000">
        <w:rPr>
          <w:rFonts w:ascii="AcadNusx" w:cs="AcadNusx" w:eastAsia="AcadNusx" w:hAnsi="AcadNusx"/>
          <w:b w:val="1"/>
          <w:vertAlign w:val="baseline"/>
          <w:rtl w:val="0"/>
        </w:rPr>
        <w:t xml:space="preserve">_</w:t>
      </w: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vertAlign w:val="baseline"/>
              <w:rtl w:val="0"/>
            </w:rPr>
            <w:t xml:space="preserve"> საშემსრულებლო ხელოვნება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560" w:hanging="1560"/>
        <w:rPr>
          <w:rFonts w:ascii="AcadNusx" w:cs="AcadNusx" w:eastAsia="AcadNusx" w:hAnsi="AcadNusx"/>
          <w:color w:val="ff0000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vertAlign w:val="baseline"/>
              <w:rtl w:val="0"/>
            </w:rPr>
            <w:t xml:space="preserve">სპეციალობა: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vertAlign w:val="baseline"/>
              <w:rtl w:val="0"/>
            </w:rPr>
            <w:t xml:space="preserve">სოლო ფორტეპიანო, კამერული ანსამბლი, საკონცერტმაისტერო დაოსტატება, საორკესტრო საკრავები, აკდემიური სიმღერა, აკადემიური გუნდის დირიჟორობა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cadNusx" w:cs="AcadNusx" w:eastAsia="AcadNusx" w:hAnsi="AcadNusx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"/>
        <w:gridCol w:w="2587"/>
        <w:gridCol w:w="566"/>
        <w:gridCol w:w="56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4"/>
        <w:gridCol w:w="720"/>
        <w:gridCol w:w="540"/>
        <w:tblGridChange w:id="0">
          <w:tblGrid>
            <w:gridCol w:w="388"/>
            <w:gridCol w:w="2587"/>
            <w:gridCol w:w="566"/>
            <w:gridCol w:w="569"/>
            <w:gridCol w:w="540"/>
            <w:gridCol w:w="540"/>
            <w:gridCol w:w="540"/>
            <w:gridCol w:w="540"/>
            <w:gridCol w:w="540"/>
            <w:gridCol w:w="540"/>
            <w:gridCol w:w="540"/>
            <w:gridCol w:w="540"/>
            <w:gridCol w:w="540"/>
            <w:gridCol w:w="544"/>
            <w:gridCol w:w="720"/>
            <w:gridCol w:w="54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cadNusx" w:cs="AcadNusx" w:eastAsia="AcadNusx" w:hAnsi="AcadNusx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vertAlign w:val="baseline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cadNusx" w:cs="AcadNusx" w:eastAsia="AcadNusx" w:hAnsi="AcadNusx"/>
                <w:b w:val="0"/>
                <w:sz w:val="20"/>
                <w:szCs w:val="20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დისციპლინის დასახელება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236"/>
              </w:tabs>
              <w:jc w:val="center"/>
              <w:rPr>
                <w:rFonts w:ascii="AcadNusx" w:cs="AcadNusx" w:eastAsia="AcadNusx" w:hAnsi="AcadNusx"/>
                <w:b w:val="0"/>
                <w:sz w:val="18"/>
                <w:szCs w:val="18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18"/>
                    <w:szCs w:val="18"/>
                    <w:vertAlign w:val="baseline"/>
                    <w:rtl w:val="0"/>
                  </w:rPr>
                  <w:t xml:space="preserve">საათებისა და კრედიტების განაწილება წლების მიხედვით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ind w:left="113" w:right="113" w:firstLine="0"/>
              <w:rPr>
                <w:rFonts w:ascii="AcadNusx" w:cs="AcadNusx" w:eastAsia="AcadNusx" w:hAnsi="AcadNusx"/>
                <w:b w:val="0"/>
                <w:sz w:val="16"/>
                <w:szCs w:val="16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16"/>
                    <w:szCs w:val="16"/>
                    <w:vertAlign w:val="baseline"/>
                    <w:rtl w:val="0"/>
                  </w:rPr>
                  <w:t xml:space="preserve">სულ საკ.საათები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left="113" w:right="113" w:firstLine="0"/>
              <w:rPr>
                <w:rFonts w:ascii="AcadNusx" w:cs="AcadNusx" w:eastAsia="AcadNusx" w:hAnsi="AcadNusx"/>
                <w:b w:val="0"/>
                <w:sz w:val="16"/>
                <w:szCs w:val="16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16"/>
                    <w:szCs w:val="16"/>
                    <w:vertAlign w:val="baseline"/>
                    <w:rtl w:val="0"/>
                  </w:rPr>
                  <w:t xml:space="preserve">სულ კრედიტები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cadNusx" w:cs="AcadNusx" w:eastAsia="AcadNusx" w:hAnsi="AcadNusx"/>
                <w:b w:val="0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vertAlign w:val="baseline"/>
                    <w:rtl w:val="0"/>
                  </w:rPr>
                  <w:t xml:space="preserve">I წელი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cadNusx" w:cs="AcadNusx" w:eastAsia="AcadNusx" w:hAnsi="AcadNusx"/>
                <w:b w:val="0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vertAlign w:val="baseline"/>
                    <w:rtl w:val="0"/>
                  </w:rPr>
                  <w:t xml:space="preserve">II წელი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cadNusx" w:cs="AcadNusx" w:eastAsia="AcadNusx" w:hAnsi="AcadNusx"/>
                <w:b w:val="0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vertAlign w:val="baseline"/>
                    <w:rtl w:val="0"/>
                  </w:rPr>
                  <w:t xml:space="preserve">III წელი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I სემ.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II სემ.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III სემ.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IV სემ.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Style w:val="Heading2"/>
              <w:spacing w:before="0" w:lineRule="auto"/>
              <w:jc w:val="center"/>
              <w:rPr>
                <w:rFonts w:ascii="AcadNusx" w:cs="AcadNusx" w:eastAsia="AcadNusx" w:hAnsi="AcadNusx"/>
                <w:b w:val="0"/>
                <w:i w:val="0"/>
                <w:sz w:val="20"/>
                <w:szCs w:val="20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z w:val="20"/>
                    <w:szCs w:val="20"/>
                    <w:vertAlign w:val="baseline"/>
                    <w:rtl w:val="0"/>
                  </w:rPr>
                  <w:t xml:space="preserve">V სემ.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VI სემ.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საკ. სთ.</w:t>
                </w:r>
              </w:sdtContent>
            </w:sdt>
            <w:r w:rsidDel="00000000" w:rsidR="00000000" w:rsidRPr="00000000">
              <w:rPr>
                <w:rFonts w:ascii="AcadNusx" w:cs="AcadNusx" w:eastAsia="AcadNusx" w:hAnsi="AcadNusx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კრ.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საკ. სთ.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კრ.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საკ. სთ.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კრ.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საკ. სთ.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კრ.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საკ. სთ.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კრ.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საკ. სთ.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pos="10490"/>
              </w:tabs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vertAlign w:val="baseline"/>
                    <w:rtl w:val="0"/>
                  </w:rPr>
                  <w:t xml:space="preserve">კრ.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cadNusx" w:cs="AcadNusx" w:eastAsia="AcadNusx" w:hAnsi="AcadNusx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სპეციალობის კლასი  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სადისერტაციო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ნაშრომის მომზადება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სადისერტაციო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ნაშრომის დაცვა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ალტერნატიული სპეციალური სასწავლო კურსები</w:t>
                </w:r>
              </w:sdtContent>
            </w:sdt>
            <w:r w:rsidDel="00000000" w:rsidR="00000000" w:rsidRPr="00000000">
              <w:rPr>
                <w:rFonts w:ascii="AcadNusx" w:cs="AcadNusx" w:eastAsia="AcadNusx" w:hAnsi="AcadNusx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vertAlign w:val="superscript"/>
                <w:rtl w:val="0"/>
              </w:rPr>
              <w:t xml:space="preserve">,</w:t>
            </w:r>
            <w:r w:rsidDel="00000000" w:rsidR="00000000" w:rsidRPr="00000000">
              <w:rPr>
                <w:rFonts w:ascii="AcadNusx" w:cs="AcadNusx" w:eastAsia="AcadNusx" w:hAnsi="AcadNusx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პედაგოგიკის ტრადიციული და  თანამედროვე მეთოდები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აკადემიურ-პედაგოგიური პრაქტიკა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(ასისტენტურა)*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pos="10490"/>
              </w:tabs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cadNusx" w:cs="AcadNusx" w:eastAsia="AcadNusx" w:hAnsi="AcadNusx"/>
                <w:sz w:val="20"/>
                <w:szCs w:val="20"/>
                <w:vertAlign w:val="baseline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vertAlign w:val="baseline"/>
                    <w:rtl w:val="0"/>
                  </w:rPr>
                  <w:t xml:space="preserve">სულ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572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cadNusx" w:cs="AcadNusx" w:eastAsia="AcadNusx" w:hAnsi="AcadNusx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vertAlign w:val="baseline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ind w:right="639"/>
        <w:rPr>
          <w:rFonts w:ascii="AcadNusx" w:cs="AcadNusx" w:eastAsia="AcadNusx" w:hAnsi="AcadNusx"/>
          <w:b w:val="0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vertAlign w:val="baseline"/>
          <w:rtl w:val="0"/>
        </w:rPr>
        <w:t xml:space="preserve">    * </w:t>
      </w:r>
      <w:sdt>
        <w:sdtPr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18"/>
              <w:szCs w:val="18"/>
              <w:vertAlign w:val="baseline"/>
              <w:rtl w:val="0"/>
            </w:rPr>
            <w:t xml:space="preserve">დასაშვებია სასწავლო კურსის გადანაცვლება შემდეგ სემესტრებში                               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right="639"/>
        <w:rPr>
          <w:rFonts w:ascii="Merriweather" w:cs="Merriweather" w:eastAsia="Merriweather" w:hAnsi="Merriweather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85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 Unicode MS"/>
  <w:font w:name="AcadNusx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142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sdt>
        <w:sdtPr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სასწავლო გეგმაში აღნიშვნა საკ.სთ გულისხმობს მხოლოდ საკონტაქტო საათებს.</w:t>
          </w:r>
        </w:sdtContent>
      </w:sdt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142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დოქტორანტს უფლება აქვს გააკეთოს ინდივიდუალური განაცხადი ნებისმიერ სასწავლო კურსზე, რომელიც იკითხება კონსერვატორიაში, ან კონსერვატორიის პარტნიორ უმაღლეს საგანმანათლებლო დაწესებულებაში და შესაბამისობაშია დოქტორანტის საკვალიფიკაციო ნაშრომის თემატიკასთან. </w:t>
          </w:r>
        </w:sdtContent>
      </w:sdt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142" w:right="0" w:hanging="142"/>
        <w:jc w:val="both"/>
        <w:rPr>
          <w:rFonts w:ascii="AcadNusx" w:cs="AcadNusx" w:eastAsia="AcadNusx" w:hAnsi="AcadNusx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ალტერნატიული სპეციალური სასწავლო კურსების ხანგრძლივობა და მისი გავლის ვადები დგინდება დოქტორანტის ხელმძღვანელის რეკომენდაციის საფუძველზე, რომელსაც ამტკიცებს სადისერტაციო საბჭო.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ka-G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en-US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en-US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en-US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en-US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en-US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en-US" w:eastAsia="en-US" w:val="en-US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eastAsia="Times New Roman" w:hAnsi="Cambria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en-US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Cambria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SubtitleChar">
    <w:name w:val="Subtitle Char"/>
    <w:next w:val="SubtitleChar"/>
    <w:autoRedefine w:val="0"/>
    <w:hidden w:val="0"/>
    <w:qFormat w:val="0"/>
    <w:rPr>
      <w:rFonts w:ascii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rFonts w:ascii="Calibri" w:hAnsi="Calibri"/>
      <w:b w:val="1"/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NoSpacing">
    <w:name w:val="No Spacing"/>
    <w:basedOn w:val="Normal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32"/>
      <w:effect w:val="none"/>
      <w:vertAlign w:val="baseline"/>
      <w:cs w:val="0"/>
      <w:em w:val="none"/>
      <w:lang w:bidi="en-US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Quote">
    <w:name w:val="Quote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QuoteChar">
    <w:name w:val="Quote Char"/>
    <w:next w:val="QuoteChar"/>
    <w:autoRedefine w:val="0"/>
    <w:hidden w:val="0"/>
    <w:qFormat w:val="0"/>
    <w:rPr>
      <w:i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IntenseQuote">
    <w:name w:val="Intense Quote"/>
    <w:basedOn w:val="Normal"/>
    <w:next w:val="Normal"/>
    <w:autoRedefine w:val="0"/>
    <w:hidden w:val="0"/>
    <w:qFormat w:val="0"/>
    <w:pPr>
      <w:suppressAutoHyphens w:val="1"/>
      <w:spacing w:line="1" w:lineRule="atLeast"/>
      <w:ind w:left="720" w:right="720"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4"/>
      <w:szCs w:val="22"/>
      <w:effect w:val="none"/>
      <w:vertAlign w:val="baseline"/>
      <w:cs w:val="0"/>
      <w:em w:val="none"/>
      <w:lang w:bidi="en-US" w:eastAsia="en-US" w:val="en-US"/>
    </w:rPr>
  </w:style>
  <w:style w:type="character" w:styleId="IntenseQuoteChar">
    <w:name w:val="Intense Quote Char"/>
    <w:next w:val="IntenseQuoteChar"/>
    <w:autoRedefine w:val="0"/>
    <w:hidden w:val="0"/>
    <w:qFormat w:val="0"/>
    <w:rPr>
      <w:b w:val="1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SubtleEmphasis">
    <w:name w:val="Subtle Emphasis"/>
    <w:next w:val="SubtleEmphasis"/>
    <w:autoRedefine w:val="0"/>
    <w:hidden w:val="0"/>
    <w:qFormat w:val="0"/>
    <w:rPr>
      <w:i w:val="1"/>
      <w:color w:val="5a5a5a"/>
      <w:w w:val="100"/>
      <w:position w:val="-1"/>
      <w:effect w:val="none"/>
      <w:vertAlign w:val="baseline"/>
      <w:cs w:val="0"/>
      <w:em w:val="none"/>
      <w:lang/>
    </w:rPr>
  </w:style>
  <w:style w:type="character" w:styleId="IntenseEmphasis">
    <w:name w:val="Intense Emphasis"/>
    <w:next w:val="IntenseEmphasis"/>
    <w:autoRedefine w:val="0"/>
    <w:hidden w:val="0"/>
    <w:qFormat w:val="0"/>
    <w:rPr>
      <w:b w:val="1"/>
      <w:i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SubtleReference">
    <w:name w:val="Subtle Reference"/>
    <w:next w:val="SubtleReference"/>
    <w:autoRedefine w:val="0"/>
    <w:hidden w:val="0"/>
    <w:qFormat w:val="0"/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IntenseReference">
    <w:name w:val="Intense Reference"/>
    <w:next w:val="IntenseReference"/>
    <w:autoRedefine w:val="0"/>
    <w:hidden w:val="0"/>
    <w:qFormat w:val="0"/>
    <w:rPr>
      <w:b w:val="1"/>
      <w:w w:val="100"/>
      <w:position w:val="-1"/>
      <w:sz w:val="24"/>
      <w:u w:val="single"/>
      <w:effect w:val="none"/>
      <w:vertAlign w:val="baseline"/>
      <w:cs w:val="0"/>
      <w:em w:val="none"/>
      <w:lang/>
    </w:rPr>
  </w:style>
  <w:style w:type="character" w:styleId="BookTitle">
    <w:name w:val="Book Title"/>
    <w:next w:val="BookTitle"/>
    <w:autoRedefine w:val="0"/>
    <w:hidden w:val="0"/>
    <w:qFormat w:val="0"/>
    <w:rPr>
      <w:rFonts w:ascii="Cambria" w:eastAsia="Times New Roman" w:hAnsi="Cambria"/>
      <w:b w:val="1"/>
      <w:i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OCHeading">
    <w:name w:val="TOC Heading"/>
    <w:basedOn w:val="Heading1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9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en-US" w:eastAsia="en-US" w:val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zEuz6R0Z/1jN3r+TkTEvXegNWg==">AMUW2mXXmDNlBfcY8Ab7Izl+AHI5/oto/Kvp6d73YxGPsmzi4pSujb4fpYR1jG6gkR/xLP00mthVtkzbsEePJ5OgFx+yWxQeD8oDvbI1RIYfZBQFciLyKRhaEhvZro9EdkYWoT7JUWuNSSiw0ulXpXK54UUCKAX271nfrrqVBihcrtppHgwPjWsonZmGYCzl2eQiWkGKSJUrlpM9UgNMN/S/8MXjpHk39JK9hALuGfJS0/xPf0nQi7kXDZZwVCt4Cp82NdsWmyJ/+ENe2tXMwPHCjJ3f+vdGmRgKSJOnaQDxzdLoFPFpXqBZocuAFPbDlNYeqce94c7xT5UZmp3yPWlAIojwxhZGJjLhD+9Om0ODLgR2gHXlRDduqoRZ3R1XdVPhLdG4RfOgF4BYCQTroD3zrzzXFGUVOBXOjrRJz5bsy9U2ZKStbfVy8bgUfUDrn9SI9jueFygnLNqN2yKCpOWAA3mVuAa9XL8u0FtzEDa2TO6ZvWTwHi2C1W5GC1EKiEQq5l5lFEGVMbDR8NkTvItA7uERED2NUQ0awwQ0AhnVXR7BU9/yta+sDinasJfYYJaIkayqDo32egmcuZdkP5RTrTW39Ng8BSSKrX+2J4rtoYqIXJhJvo87ohttcaCE3e2GW+5Fz+ADkkDZu5WY2dEch7ZujnNze8DzY61vCFtZ/4rYZiXBuU6EWUnAmxO1dokILYpie0RatBjRYpE1Pm/YFRSoLYPb4nVvxTiSyaW+ZuSKocb2OaaTt01ciRZoRzuuI/gu2JdD64kxSLOSeUjqlVLFoiScyBLGlYomGZnjnSmfZniyCJlmcyiYJD/xGo5ubCTUklnlhniToPkr1sQ7hmLMtlq+WUptIHGQqbZMM0/pkKplF3HC2G5uF9KbzNRA0/ADgiWohCpohNZcDF3papjmuMdLt/jmk2bu0kD8z8Nz0DMJrgZr7zLMNkbLKBqC8cOokGR7QITek04S5DS6q9APUkSd1hMMHEkQ10Kp7PQgxePsVF7Rj5kHtjZlNXh/NQhl7JkAeh8oPuWbemaHpFkaIzh4ST5KlRBJELPANMeJiHT/LXRqb34/L1O2JPXRMO5lXRKfNWvezaPiKhOJ/1/WJIsMtvbgzc5jn2FrH/57gK3yDaBxX+iWK3M4aZt41qvDC3iSsFhWjdGqpRWUM6+aoaIp7SBz0e8dCU6K0UqXMRPxIoNiMZkxDXKm2iiH6VVtcYS/imNXInHa3A7RCFeBrjT+bArHsPr2RjpO1KsGl8fWUWs+PqxRXAnwXldgjYwwhc7EcJXXEpngfIVc4JWc3catNlP2eDWjJD2qEC0V6IheicvT6Oq1Kkc4wK+kNosNl+hra5PoxD6KcaRULoodI6tx+8EDPRy3wAot3Bm5GSa7bnhMOgUeZd5B4v+C7hvgjp44o+5YnhZVoCBndJhtOE8f/O5BVpHpgP/bE1HK6d2d2irUIEYAsnUSTDd80PPVDDiOGrveZueWn3YeTjnJIeZhS4wXOSv/Gk3SkLRT7aG5nEVPQGtt95WAVUBrwaGTN/mDCm0mCqbmoEJh0BrC232jVyyzg3lo4VitbKknm3s+HWaUJg4HAGKy346Rfk0Cqy1tRICS5mfx0HTRo4pgG7bfA9LMU/HlDTDA8O4GNANxCOcFZo8CwhzB0MavwBrUZ8vOcfVnJ2RDvwEN+o5ytSYuTNLL2iV2UNjzpYj1nBekIs4Wn/PYExluzD+W+sQ+O7jJZhPjoU1GkuvcHzGBRZOIljMHm4zJBHRjjo30DH7vLkiQ/nHhJfxN2fO4Wb6Tc0/n/iufQtqWLItUPeCiGni09PKW20TUf3NtMEwwPezkgVSFg+zu3nreOdyhRNvWTIT6w5RWRgv05AxY+PPR2htNpDkK5kojJxYGVZBHqcoW5bMYI9vH6QnA6fhq27/3ZqeBn2zZyt+2lccR5OXhs+khzPcda+sNcGwEXAY1T/ZorIQ8CCBP/l2yGx6h+OzXqiuv/+xoe0TmtfcWkOwl6iv4Nxlg9ppjM7xlX4N2tIpx2q/R5aD4+NGhJpMschdZ4dxt0ckLpzksK3d5ZMQVCwOrDOsIwbfiXnsCnR8U1ZWTcb+LfCZrBmNxYwuvEKW0+Kty9CtdrKRgdmKjymInD5x77z4EjUwtuOLwwMtAmJqBKKtyn7HEomncSrDp2Iyk4EXfJgd/2LHT2O04TE3qLGq9rxu2SElchiwF+N/g1J2Bg2jYe3/59bIBZ+LZ1eiARscIBzqLWLpgDr9WhgmHbGh7/h4OsONGDk72PJdK4krRQNP3tBaq90D29+TQEVDlgLlrIWhB1IF7MNmTD5uqCQzED16tu9aKMHzzqFx/agJG1kk+LFPjyVF0yotHZIJ7oh+FlAppGNqbJq84YmJTzEhwF35AIhyTFjHPtno74uoCktOGZWUdtP4N24SWE+2NkKapbbLv6YC7FML1XjJfoSm3gsnzeZ17WjzSFaPwgNEUcMgKORaGagL8VnMziQDFI3PZvRrgoUUJ+JSllY7jWEXXAgHQOPMwZMh37axrY1mCazL9R/ixbaRfONo7Q8CPOr9Fl8TgPhNqywre8r04E38nkjM1G156SihSjwUq0yFp0DYlrM18vpMMbadE1YGuY0qWV5bdHclToruzl7JNo0d8bn8GVAMilAkTd36b2H9xwoljf0N2EgIiWypziypGWIhdFK0K6PL+6rb47HKKj69bANys0BLw8Q0MqsUG9N3ACo780bGcMl30Fpg1L56Ar3dpqp+BH+zJ3eIpRFQa24j/0cIfHed93vDgME1OghRyOt3RRGmj6jAdA317myJ5q+bHE2D/784bIjAxSRZ/Gtz/EpfGsn4iBz3+c3myGYssiNVRavdS4/EUM8A8P4UAi+AjwEYi+IBLpY2pnba+qT4TwbCh1C4Uz5dt91edfPLrrWuDS1E128IoH2MTrbD8pxFt5ZvqQ/ZqaMsz0w26bxe/W/Y4j6JE7wcO3h1EZHcEj+FoVE1v3QGcaRX9ehJyzvQm/6Klngupx3oHxTainGQh1DlEAZg2bEVZhXe4xSEVc915mpi8NfIBR38Pa2BGmxycJ51tahZDsrppPqL7KL/d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2008-07-16T13:10:00Z</dcterms:created>
  <dc:creator>Paata Ebralidze</dc:creator>
</cp:coreProperties>
</file>